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64" w:type="dxa"/>
        <w:tblLook w:val="04A0" w:firstRow="1" w:lastRow="0" w:firstColumn="1" w:lastColumn="0" w:noHBand="0" w:noVBand="1"/>
      </w:tblPr>
      <w:tblGrid>
        <w:gridCol w:w="4801"/>
        <w:gridCol w:w="4963"/>
      </w:tblGrid>
      <w:tr w:rsidR="00B72F71" w:rsidTr="00217F28">
        <w:trPr>
          <w:trHeight w:val="983"/>
        </w:trPr>
        <w:tc>
          <w:tcPr>
            <w:tcW w:w="4801" w:type="dxa"/>
          </w:tcPr>
          <w:p w:rsidR="00B72F71" w:rsidRDefault="00B72F71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B72F71" w:rsidRPr="006E3DF1" w:rsidRDefault="00B72F71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B72F71" w:rsidRPr="006E3DF1" w:rsidRDefault="00B72F71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B72F71" w:rsidRDefault="00B72F71" w:rsidP="00217F2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4963" w:type="dxa"/>
          </w:tcPr>
          <w:p w:rsidR="00B72F71" w:rsidRPr="006E3DF1" w:rsidRDefault="00B72F71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B72F71" w:rsidRPr="006E3DF1" w:rsidRDefault="00B72F71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Директором МБОУ СОШ №189</w:t>
            </w:r>
          </w:p>
          <w:p w:rsidR="00B72F71" w:rsidRPr="006E3DF1" w:rsidRDefault="00B72F71" w:rsidP="00217F28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proofErr w:type="spellStart"/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Е.В.Шаталовым</w:t>
            </w:r>
            <w:proofErr w:type="spellEnd"/>
          </w:p>
          <w:p w:rsidR="00B72F71" w:rsidRPr="004E128A" w:rsidRDefault="00B72F71" w:rsidP="00217F28">
            <w:pPr>
              <w:spacing w:before="0" w:beforeAutospacing="0"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135/3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31.08.2023 г.</w:t>
            </w:r>
          </w:p>
          <w:p w:rsidR="00B72F71" w:rsidRDefault="00B72F71" w:rsidP="00217F28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073686" w:rsidRPr="00BB1B26" w:rsidRDefault="00FE0C15" w:rsidP="00BB1B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шестидневной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073686" w:rsidRPr="00BB1B26" w:rsidRDefault="00FE0C15" w:rsidP="00BB1B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BB1B26" w:rsidRDefault="00BB1B26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3686" w:rsidRPr="00BB1B26" w:rsidRDefault="00FE0C15" w:rsidP="00BB1B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3686" w:rsidRPr="00BB1B26" w:rsidRDefault="00FE0C15" w:rsidP="00BB1B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ыха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3686" w:rsidRPr="00BB1B26" w:rsidRDefault="00FE0C15" w:rsidP="00BB1B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3686" w:rsidRPr="00BB1B26" w:rsidRDefault="00FE0C15" w:rsidP="00BB1B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073686" w:rsidRDefault="00FE0C15" w:rsidP="00BB1B2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B72F71" w:rsidRPr="00BB1B26" w:rsidRDefault="00B72F71" w:rsidP="00B72F71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Календарные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B7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: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3686" w:rsidRPr="00BB1B26" w:rsidRDefault="00FE0C15" w:rsidP="00BB1B2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72F71">
        <w:rPr>
          <w:rFonts w:ascii="Times New Roman" w:hAnsi="Times New Roman" w:cs="Times New Roman"/>
          <w:color w:val="000000"/>
          <w:sz w:val="24"/>
          <w:szCs w:val="24"/>
          <w:lang w:val="ru-RU"/>
        </w:rPr>
        <w:t>204 учебных дня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73686" w:rsidRPr="00BB1B26" w:rsidRDefault="00FE0C15" w:rsidP="00BB1B2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0736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736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0736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736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BB1B26" w:rsidRDefault="00B72F71" w:rsidP="00B72F7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F71" w:rsidRPr="00BB1B26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73686" w:rsidRPr="00BB1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BB1B26" w:rsidRDefault="00FE0C15" w:rsidP="00BB1B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0736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BB1B2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073686" w:rsidRPr="00BB1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Pr="00BB1B26" w:rsidRDefault="00FE0C15" w:rsidP="00BB1B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BB1B26">
              <w:rPr>
                <w:lang w:val="ru-RU"/>
              </w:rPr>
              <w:br/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B1B26">
              <w:rPr>
                <w:lang w:val="ru-RU"/>
              </w:rPr>
              <w:br/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B1B26">
              <w:rPr>
                <w:lang w:val="ru-RU"/>
              </w:rPr>
              <w:br/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0736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Pr="00BB1B2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Pr="0050468C" w:rsidRDefault="00B72F71" w:rsidP="00B72F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2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F71" w:rsidRDefault="00B72F71" w:rsidP="00B72F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36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686" w:rsidRDefault="00B72F71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  <w:r w:rsidR="00FE0C15"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F71" w:rsidRDefault="00B72F71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3686" w:rsidRPr="00BB1B2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32A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15.04.2024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8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 w:rsidR="0038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20.05</w:t>
      </w:r>
      <w:r w:rsidR="0038532A"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</w:t>
      </w:r>
      <w:r w:rsidR="0038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B1B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532A" w:rsidRPr="00BB1B26" w:rsidRDefault="0038532A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76"/>
        <w:gridCol w:w="6109"/>
      </w:tblGrid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073686" w:rsidRPr="0038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38532A" w:rsidRDefault="0038532A" w:rsidP="00BB1B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Переводной экзамен в формате ЕГЭ</w:t>
            </w:r>
          </w:p>
        </w:tc>
      </w:tr>
      <w:tr w:rsidR="00073686" w:rsidRPr="0038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38532A" w:rsidRDefault="0038532A" w:rsidP="00BB1B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в формате итогового сочинения</w:t>
            </w:r>
          </w:p>
        </w:tc>
      </w:tr>
      <w:tr w:rsidR="0038532A" w:rsidRPr="0038532A" w:rsidTr="005C4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Переводной экзамен в формате ЕГЭ</w:t>
            </w:r>
          </w:p>
        </w:tc>
      </w:tr>
      <w:tr w:rsidR="0038532A" w:rsidRPr="0038532A" w:rsidTr="00CE4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Переводной экзамен в формате ЕГЭ по выбору</w:t>
            </w:r>
          </w:p>
        </w:tc>
      </w:tr>
      <w:tr w:rsidR="0038532A" w:rsidRPr="0038532A" w:rsidTr="00C12E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Переводной экзамен в формате 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выбору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Переводной экзамен в формате ЕГЭ по выбору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Переводной экзамен в формате ЕГЭ по выбору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Переводной экзамен в формате ЕГЭ по выбору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Переводной экзамен в формате ЕГЭ по выбору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 w:rsidRPr="0038532A" w:rsidTr="00592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2A" w:rsidRPr="00CE01F7" w:rsidRDefault="0038532A" w:rsidP="003853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полугодовых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38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Default="0038532A" w:rsidP="0038532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32A" w:rsidRPr="0038532A" w:rsidRDefault="0038532A" w:rsidP="0038532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38532A" w:rsidRDefault="0038532A" w:rsidP="00BB1B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38532A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38532A" w:rsidRDefault="0038532A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073686" w:rsidRPr="00BB1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BB1B2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B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0736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Pr="00BB1B26" w:rsidRDefault="00073686" w:rsidP="00BB1B2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73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686" w:rsidRDefault="00FE0C15" w:rsidP="00BB1B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8532A" w:rsidRDefault="0038532A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73686" w:rsidRDefault="00FE0C15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38532A" w:rsidRPr="00036B29" w:rsidTr="00217F28">
        <w:trPr>
          <w:trHeight w:val="841"/>
        </w:trPr>
        <w:tc>
          <w:tcPr>
            <w:tcW w:w="4531" w:type="dxa"/>
          </w:tcPr>
          <w:p w:rsidR="0038532A" w:rsidRDefault="0038532A" w:rsidP="00217F28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lastRenderedPageBreak/>
              <w:t xml:space="preserve">Расписание звонков на </w:t>
            </w:r>
          </w:p>
          <w:p w:rsidR="0038532A" w:rsidRPr="00036B29" w:rsidRDefault="0038532A" w:rsidP="00217F28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понедельник-пятницу</w:t>
            </w:r>
          </w:p>
          <w:p w:rsidR="0038532A" w:rsidRPr="00036B29" w:rsidRDefault="0038532A" w:rsidP="00217F28">
            <w:pPr>
              <w:ind w:firstLine="708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2127"/>
            </w:tblGrid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38532A" w:rsidRPr="00036B29" w:rsidTr="00217F28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38532A" w:rsidRPr="00036B29" w:rsidTr="00217F28">
              <w:trPr>
                <w:trHeight w:val="471"/>
              </w:trPr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38532A" w:rsidRPr="00036B29" w:rsidRDefault="0038532A" w:rsidP="00217F2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532A" w:rsidRPr="00036B29" w:rsidRDefault="0038532A" w:rsidP="00217F28">
            <w:pPr>
              <w:jc w:val="center"/>
              <w:rPr>
                <w:sz w:val="24"/>
                <w:szCs w:val="24"/>
              </w:rPr>
            </w:pPr>
          </w:p>
          <w:p w:rsidR="0038532A" w:rsidRPr="00036B29" w:rsidRDefault="0038532A" w:rsidP="00217F28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Расписание звонков на субботу</w:t>
            </w:r>
          </w:p>
          <w:p w:rsidR="0038532A" w:rsidRPr="00036B29" w:rsidRDefault="0038532A" w:rsidP="00217F2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2126"/>
            </w:tblGrid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45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38532A" w:rsidRPr="00036B29" w:rsidTr="00217F28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38532A" w:rsidRPr="00036B29" w:rsidRDefault="0038532A" w:rsidP="00217F2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8532A" w:rsidRPr="00036B29" w:rsidRDefault="0038532A" w:rsidP="0038532A">
                  <w:pPr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38532A" w:rsidRPr="00036B29" w:rsidRDefault="0038532A" w:rsidP="00217F28">
            <w:pPr>
              <w:rPr>
                <w:sz w:val="24"/>
                <w:szCs w:val="24"/>
              </w:rPr>
            </w:pPr>
          </w:p>
        </w:tc>
      </w:tr>
    </w:tbl>
    <w:p w:rsidR="0038532A" w:rsidRDefault="0038532A" w:rsidP="00BB1B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532A" w:rsidRPr="00CE01F7" w:rsidRDefault="0038532A" w:rsidP="0038532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CE01F7">
        <w:rPr>
          <w:color w:val="000000"/>
          <w:sz w:val="24"/>
          <w:szCs w:val="24"/>
          <w:lang w:val="ru-RU"/>
        </w:rPr>
        <w:t>После каждого урока ученикам предоставляется перерыв 10 минут, после второго или третьего урока</w:t>
      </w:r>
      <w:r>
        <w:rPr>
          <w:color w:val="000000"/>
          <w:sz w:val="24"/>
          <w:szCs w:val="24"/>
        </w:rPr>
        <w:t> </w:t>
      </w:r>
      <w:r w:rsidRPr="00CE01F7">
        <w:rPr>
          <w:color w:val="000000"/>
          <w:sz w:val="24"/>
          <w:szCs w:val="24"/>
          <w:lang w:val="ru-RU"/>
        </w:rPr>
        <w:t>– 20 минут.</w:t>
      </w:r>
    </w:p>
    <w:p w:rsidR="0038532A" w:rsidRDefault="0038532A" w:rsidP="0038532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 между уроками и занятиями внеурочной деятельности – 30 минут</w:t>
      </w:r>
    </w:p>
    <w:p w:rsidR="0038532A" w:rsidRDefault="0038532A" w:rsidP="0038532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Внеуроч</w:t>
      </w:r>
      <w:r>
        <w:rPr>
          <w:rFonts w:ascii="Times New Roman" w:hAnsi="Times New Roman" w:cs="Times New Roman"/>
          <w:sz w:val="24"/>
          <w:szCs w:val="24"/>
          <w:lang w:val="ru-RU"/>
        </w:rPr>
        <w:t>ная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: с 13.50.</w:t>
      </w:r>
    </w:p>
    <w:p w:rsidR="00FE0C15" w:rsidRPr="0038532A" w:rsidRDefault="00FE0C15" w:rsidP="00BB1B26">
      <w:pPr>
        <w:spacing w:before="0" w:beforeAutospacing="0" w:after="0" w:afterAutospacing="0"/>
        <w:jc w:val="both"/>
        <w:rPr>
          <w:lang w:val="ru-RU"/>
        </w:rPr>
      </w:pPr>
    </w:p>
    <w:sectPr w:rsidR="00FE0C15" w:rsidRPr="003853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61FC"/>
    <w:multiLevelType w:val="hybridMultilevel"/>
    <w:tmpl w:val="A524F98E"/>
    <w:lvl w:ilvl="0" w:tplc="7F54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CA9"/>
    <w:multiLevelType w:val="hybridMultilevel"/>
    <w:tmpl w:val="7ED07EEE"/>
    <w:lvl w:ilvl="0" w:tplc="C8B43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1B65"/>
    <w:multiLevelType w:val="hybridMultilevel"/>
    <w:tmpl w:val="5B4A96BE"/>
    <w:lvl w:ilvl="0" w:tplc="A398B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F76BA"/>
    <w:multiLevelType w:val="hybridMultilevel"/>
    <w:tmpl w:val="FBF6D2AE"/>
    <w:lvl w:ilvl="0" w:tplc="A1AEF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686"/>
    <w:rsid w:val="002D33B1"/>
    <w:rsid w:val="002D3591"/>
    <w:rsid w:val="003514A0"/>
    <w:rsid w:val="0038532A"/>
    <w:rsid w:val="004F7E17"/>
    <w:rsid w:val="005A05CE"/>
    <w:rsid w:val="00653AF6"/>
    <w:rsid w:val="00B72F71"/>
    <w:rsid w:val="00B73A5A"/>
    <w:rsid w:val="00BB1B26"/>
    <w:rsid w:val="00E438A1"/>
    <w:rsid w:val="00F01E19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59A3"/>
  <w15:docId w15:val="{54E05046-CDAF-47D4-A00F-ABD46D9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8532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2023-09-11T11:46:00Z</dcterms:modified>
</cp:coreProperties>
</file>